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AB6DF" w14:textId="1B8DE624" w:rsidR="00B06F4B" w:rsidRPr="00B06F4B" w:rsidRDefault="00B06F4B" w:rsidP="00B06F4B">
      <w:pPr>
        <w:spacing w:before="120" w:after="120" w:line="240" w:lineRule="auto"/>
        <w:rPr>
          <w:rFonts w:cs="Times New Roman"/>
          <w:sz w:val="28"/>
          <w:szCs w:val="28"/>
        </w:rPr>
      </w:pP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 xml:space="preserve">                 </w:t>
      </w:r>
      <w:proofErr w:type="spellStart"/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>Dunedin</w:t>
      </w:r>
      <w:proofErr w:type="spellEnd"/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 xml:space="preserve"> Highland </w:t>
      </w:r>
      <w:proofErr w:type="spellStart"/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>Middle</w:t>
      </w:r>
      <w:proofErr w:type="spellEnd"/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 xml:space="preserve"> </w:t>
      </w:r>
      <w:proofErr w:type="spellStart"/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>School</w:t>
      </w:r>
      <w:proofErr w:type="spellEnd"/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 xml:space="preserve"> </w:t>
      </w:r>
      <w:proofErr w:type="spellStart"/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>One</w:t>
      </w:r>
      <w:proofErr w:type="spellEnd"/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 xml:space="preserve"> </w:t>
      </w:r>
      <w:proofErr w:type="spellStart"/>
      <w:r w:rsidR="006B16F3" w:rsidRPr="222B419D">
        <w:rPr>
          <w:b/>
          <w:bCs/>
          <w:color w:val="000000" w:themeColor="text1"/>
          <w:sz w:val="28"/>
          <w:szCs w:val="28"/>
          <w:lang w:val="es"/>
        </w:rPr>
        <w:t>Pager</w:t>
      </w:r>
      <w:proofErr w:type="spellEnd"/>
    </w:p>
    <w:p w14:paraId="06B674D6" w14:textId="2DBCB729" w:rsidR="00CF640C" w:rsidRPr="00A82477" w:rsidRDefault="008F52C4" w:rsidP="222B419D">
      <w:pPr>
        <w:spacing w:before="120" w:after="120" w:line="240" w:lineRule="auto"/>
        <w:ind w:left="2160" w:firstLine="720"/>
        <w:rPr>
          <w:rFonts w:cs="Times New Roman"/>
          <w:sz w:val="28"/>
          <w:szCs w:val="28"/>
        </w:rPr>
      </w:pPr>
      <w:r w:rsidRPr="222B419D">
        <w:rPr>
          <w:sz w:val="28"/>
          <w:szCs w:val="28"/>
          <w:lang w:val="es"/>
        </w:rPr>
        <w:t>Plan de Mejoramiento Escolar 2022-2023</w:t>
      </w:r>
    </w:p>
    <w:p w14:paraId="779ECF29" w14:textId="68B7D726" w:rsidR="00EB78D8" w:rsidRDefault="00257F05" w:rsidP="00A82477">
      <w:pPr>
        <w:spacing w:before="120" w:after="120" w:line="240" w:lineRule="auto"/>
        <w:jc w:val="both"/>
        <w:rPr>
          <w:rFonts w:ascii="Arial" w:hAnsi="Arial" w:cs="Arial"/>
          <w:color w:val="2A2B2C"/>
          <w:shd w:val="clear" w:color="auto" w:fill="FFFFFF"/>
        </w:rPr>
      </w:pPr>
      <w:r w:rsidRPr="222B419D">
        <w:rPr>
          <w:color w:val="2A2B2C"/>
          <w:shd w:val="clear" w:color="auto" w:fill="FFFFFF"/>
          <w:lang w:val="es"/>
        </w:rPr>
        <w:t xml:space="preserve">La misión es que </w:t>
      </w:r>
      <w:proofErr w:type="spellStart"/>
      <w:r w:rsidRPr="222B419D">
        <w:rPr>
          <w:color w:val="2A2B2C"/>
          <w:shd w:val="clear" w:color="auto" w:fill="FFFFFF"/>
          <w:lang w:val="es"/>
        </w:rPr>
        <w:t>Dunedin</w:t>
      </w:r>
      <w:proofErr w:type="spellEnd"/>
      <w:r w:rsidRPr="222B419D">
        <w:rPr>
          <w:color w:val="2A2B2C"/>
          <w:shd w:val="clear" w:color="auto" w:fill="FFFFFF"/>
          <w:lang w:val="es"/>
        </w:rPr>
        <w:t xml:space="preserve"> cierre la brecha de rendimiento y abra nuevas oportunidades de aprendizaje para garantizar que todos nuestros estudiantes estén preparados para el éxito universitario y profesional al proporcionar un ambiente seguro y </w:t>
      </w:r>
      <w:r w:rsidR="00BC117F" w:rsidRPr="222B419D">
        <w:rPr>
          <w:rStyle w:val="Strong"/>
          <w:color w:val="A52A2A"/>
          <w:shd w:val="clear" w:color="auto" w:fill="FFFFFF"/>
          <w:lang w:val="es"/>
        </w:rPr>
        <w:t>respetuoso</w:t>
      </w:r>
      <w:r>
        <w:rPr>
          <w:lang w:val="es"/>
        </w:rPr>
        <w:t xml:space="preserve">, inspirar la </w:t>
      </w:r>
      <w:r w:rsidR="00BC117F" w:rsidRPr="222B419D">
        <w:rPr>
          <w:rStyle w:val="Strong"/>
          <w:color w:val="A52A2A"/>
          <w:shd w:val="clear" w:color="auto" w:fill="FFFFFF"/>
          <w:lang w:val="es"/>
        </w:rPr>
        <w:t>excelencia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en </w:t>
      </w:r>
      <w:r w:rsidR="00BC117F" w:rsidRPr="222B419D">
        <w:rPr>
          <w:color w:val="2A2B2C"/>
          <w:shd w:val="clear" w:color="auto" w:fill="FFFFFF"/>
          <w:lang w:val="es"/>
        </w:rPr>
        <w:t xml:space="preserve"> las</w:t>
      </w:r>
      <w:proofErr w:type="gramEnd"/>
      <w:r w:rsidR="00BC117F" w:rsidRPr="222B419D">
        <w:rPr>
          <w:color w:val="2A2B2C"/>
          <w:shd w:val="clear" w:color="auto" w:fill="FFFFFF"/>
          <w:lang w:val="es"/>
        </w:rPr>
        <w:t xml:space="preserve"> prácticas educativas y el rendimiento estudiantil, y demostrar </w:t>
      </w:r>
      <w:r w:rsidR="00BC117F" w:rsidRPr="222B419D">
        <w:rPr>
          <w:rStyle w:val="Strong"/>
          <w:color w:val="A52A2A"/>
          <w:shd w:val="clear" w:color="auto" w:fill="FFFFFF"/>
          <w:lang w:val="es"/>
        </w:rPr>
        <w:t>orgullo</w:t>
      </w:r>
      <w:r w:rsidR="00BC117F" w:rsidRPr="222B419D">
        <w:rPr>
          <w:color w:val="2A2B2C"/>
          <w:shd w:val="clear" w:color="auto" w:fill="FFFFFF"/>
          <w:lang w:val="es"/>
        </w:rPr>
        <w:t xml:space="preserve"> en nuestra comunidad escolar</w:t>
      </w:r>
      <w:r w:rsidR="00BC117F">
        <w:rPr>
          <w:color w:val="2A2B2C"/>
          <w:shd w:val="clear" w:color="auto" w:fill="FFFFFF"/>
          <w:lang w:val="es"/>
        </w:rPr>
        <w:t>.</w:t>
      </w:r>
      <w:r w:rsidR="00BC117F" w:rsidRPr="222B419D">
        <w:rPr>
          <w:color w:val="2A2B2C"/>
          <w:shd w:val="clear" w:color="auto" w:fill="FFFFFF"/>
          <w:lang w:val="es"/>
        </w:rPr>
        <w:t xml:space="preserve"> </w:t>
      </w:r>
    </w:p>
    <w:p w14:paraId="6D44AED3" w14:textId="3914853F" w:rsidR="00EB78D8" w:rsidRDefault="008E66F0" w:rsidP="00A82477">
      <w:pPr>
        <w:spacing w:before="120" w:after="120" w:line="240" w:lineRule="auto"/>
        <w:jc w:val="both"/>
        <w:rPr>
          <w:rFonts w:ascii="Arial" w:hAnsi="Arial" w:cs="Arial"/>
          <w:b/>
          <w:bCs/>
          <w:color w:val="2A2B2C"/>
          <w:shd w:val="clear" w:color="auto" w:fill="FFFFFF"/>
        </w:rPr>
      </w:pPr>
      <w:r w:rsidRPr="008E66F0">
        <w:rPr>
          <w:b/>
          <w:bCs/>
          <w:color w:val="2A2B2C"/>
          <w:shd w:val="clear" w:color="auto" w:fill="FFFFFF"/>
          <w:lang w:val="es"/>
        </w:rPr>
        <w:t>Áreas de enfoque</w:t>
      </w:r>
      <w:r>
        <w:rPr>
          <w:b/>
          <w:bCs/>
          <w:color w:val="2A2B2C"/>
          <w:shd w:val="clear" w:color="auto" w:fill="FFFFFF"/>
          <w:lang w:val="es"/>
        </w:rPr>
        <w:t>:</w:t>
      </w:r>
    </w:p>
    <w:p w14:paraId="63489847" w14:textId="75BE1AC3" w:rsidR="008E66F0" w:rsidRDefault="00673C7A" w:rsidP="008E66F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b/>
          <w:bCs/>
          <w:color w:val="2A2B2C"/>
          <w:shd w:val="clear" w:color="auto" w:fill="FFFFFF"/>
        </w:rPr>
      </w:pPr>
      <w:r>
        <w:rPr>
          <w:b/>
          <w:bCs/>
          <w:color w:val="2A2B2C"/>
          <w:shd w:val="clear" w:color="auto" w:fill="FFFFFF"/>
          <w:lang w:val="es"/>
        </w:rPr>
        <w:t>Alineación estándar</w:t>
      </w:r>
    </w:p>
    <w:p w14:paraId="100FE585" w14:textId="1147ABAA" w:rsidR="1EF82A7A" w:rsidRPr="00CF2ABB" w:rsidRDefault="1EF82A7A" w:rsidP="222B419D">
      <w:pPr>
        <w:spacing w:before="120" w:after="120" w:line="240" w:lineRule="auto"/>
        <w:jc w:val="both"/>
        <w:rPr>
          <w:rFonts w:ascii="Calibri" w:eastAsia="MS Mincho" w:hAnsi="Calibri"/>
          <w:color w:val="2A2B2C"/>
        </w:rPr>
      </w:pPr>
      <w:r w:rsidRPr="00CF2ABB">
        <w:rPr>
          <w:color w:val="2A2B2C"/>
          <w:lang w:val="es"/>
        </w:rPr>
        <w:t>Alineación de tareas estándar para estudiantes. Para garantizar que las lecciones de participación de los estudiantes también estén alineadas con los estándares que se enseñan.</w:t>
      </w:r>
      <w:bookmarkStart w:id="0" w:name="_Int_6VxTnc51"/>
      <w:bookmarkEnd w:id="0"/>
    </w:p>
    <w:p w14:paraId="19159B76" w14:textId="32D6E057" w:rsidR="00673C7A" w:rsidRDefault="00673C7A" w:rsidP="008E66F0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b/>
          <w:bCs/>
          <w:color w:val="2A2B2C"/>
          <w:shd w:val="clear" w:color="auto" w:fill="FFFFFF"/>
        </w:rPr>
      </w:pPr>
      <w:r>
        <w:rPr>
          <w:b/>
          <w:bCs/>
          <w:color w:val="2A2B2C"/>
          <w:shd w:val="clear" w:color="auto" w:fill="FFFFFF"/>
          <w:lang w:val="es"/>
        </w:rPr>
        <w:t>Diferenciación/Andamiaje de material</w:t>
      </w:r>
    </w:p>
    <w:p w14:paraId="4155A831" w14:textId="7A62CE72" w:rsidR="2DD8EE50" w:rsidRPr="00CF2ABB" w:rsidRDefault="2DD8EE50" w:rsidP="222B419D">
      <w:pPr>
        <w:spacing w:before="120" w:after="120" w:line="240" w:lineRule="auto"/>
        <w:jc w:val="both"/>
        <w:rPr>
          <w:rFonts w:ascii="Calibri" w:eastAsia="MS Mincho" w:hAnsi="Calibri"/>
          <w:color w:val="2A2B2C"/>
        </w:rPr>
      </w:pPr>
      <w:r w:rsidRPr="00CF2ABB">
        <w:rPr>
          <w:color w:val="2A2B2C"/>
          <w:lang w:val="es"/>
        </w:rPr>
        <w:t xml:space="preserve">Implementación de estrategias de andamiaje y diferenciación en todas las clases para satisfacer las necesidades de diversos estudiantes. Las estrategias consistirán en exponer a los estudiantes a material de nivel superior para </w:t>
      </w:r>
      <w:bookmarkStart w:id="1" w:name="_Int_pFPt6rG2"/>
      <w:bookmarkEnd w:id="1"/>
      <w:r w:rsidR="003D226C">
        <w:rPr>
          <w:color w:val="2A2B2C"/>
          <w:lang w:val="es"/>
        </w:rPr>
        <w:t xml:space="preserve">aumentar el rigor en el aula y al mismo tiempo implementar estrategias de </w:t>
      </w:r>
      <w:proofErr w:type="gramStart"/>
      <w:r w:rsidR="003D226C">
        <w:rPr>
          <w:color w:val="2A2B2C"/>
          <w:lang w:val="es"/>
        </w:rPr>
        <w:t xml:space="preserve">aula </w:t>
      </w:r>
      <w:r>
        <w:rPr>
          <w:lang w:val="es"/>
        </w:rPr>
        <w:t xml:space="preserve"> para</w:t>
      </w:r>
      <w:proofErr w:type="gramEnd"/>
      <w:r>
        <w:rPr>
          <w:lang w:val="es"/>
        </w:rPr>
        <w:t xml:space="preserve"> </w:t>
      </w:r>
      <w:bookmarkStart w:id="2" w:name="_Int_JFKN62b4"/>
      <w:r w:rsidR="003D226C">
        <w:rPr>
          <w:color w:val="2A2B2C"/>
          <w:lang w:val="es"/>
        </w:rPr>
        <w:t xml:space="preserve">los estudiantes que puedan necesitar apoyos adicionales para </w:t>
      </w:r>
      <w:r w:rsidR="00354EE9">
        <w:rPr>
          <w:color w:val="2A2B2C"/>
          <w:lang w:val="es"/>
        </w:rPr>
        <w:t>lograr material de nivel de grado</w:t>
      </w:r>
      <w:r w:rsidR="1146F409" w:rsidRPr="00CF2ABB">
        <w:rPr>
          <w:color w:val="2A2B2C"/>
          <w:lang w:val="es"/>
        </w:rPr>
        <w:t xml:space="preserve">. Todos los estudiantes </w:t>
      </w:r>
      <w:bookmarkEnd w:id="2"/>
      <w:r w:rsidR="009860F8">
        <w:rPr>
          <w:color w:val="2A2B2C"/>
          <w:lang w:val="es"/>
        </w:rPr>
        <w:t>estarán expuestos a su material de nivel de grado</w:t>
      </w:r>
      <w:r w:rsidR="6542AEBE" w:rsidRPr="00CF2ABB">
        <w:rPr>
          <w:color w:val="2A2B2C"/>
          <w:lang w:val="es"/>
        </w:rPr>
        <w:t xml:space="preserve"> con las estrategias apropiadas implementadas.</w:t>
      </w:r>
    </w:p>
    <w:p w14:paraId="60F8AC01" w14:textId="52E5E4D9" w:rsidR="00EB78D8" w:rsidRPr="000A0478" w:rsidRDefault="000A0478" w:rsidP="00A82477">
      <w:pPr>
        <w:pStyle w:val="ListParagraph"/>
        <w:numPr>
          <w:ilvl w:val="0"/>
          <w:numId w:val="10"/>
        </w:numPr>
        <w:spacing w:before="120" w:after="120" w:line="240" w:lineRule="auto"/>
        <w:jc w:val="both"/>
        <w:rPr>
          <w:rFonts w:ascii="Arial" w:hAnsi="Arial" w:cs="Arial"/>
          <w:b/>
          <w:bCs/>
          <w:color w:val="2A2B2C"/>
          <w:shd w:val="clear" w:color="auto" w:fill="FFFFFF"/>
        </w:rPr>
      </w:pPr>
      <w:r>
        <w:rPr>
          <w:b/>
          <w:bCs/>
          <w:color w:val="2A2B2C"/>
          <w:shd w:val="clear" w:color="auto" w:fill="FFFFFF"/>
          <w:lang w:val="es"/>
        </w:rPr>
        <w:t>Participación de los estudiantes en tareas complejas</w:t>
      </w:r>
    </w:p>
    <w:p w14:paraId="6C53918E" w14:textId="77777777" w:rsidR="00B37B52" w:rsidRDefault="32D97BDC" w:rsidP="222B419D">
      <w:pPr>
        <w:spacing w:before="120" w:after="120" w:line="240" w:lineRule="auto"/>
        <w:jc w:val="both"/>
        <w:rPr>
          <w:rFonts w:ascii="Calibri" w:eastAsia="MS Mincho" w:hAnsi="Calibri"/>
          <w:color w:val="2A2B2C"/>
        </w:rPr>
      </w:pPr>
      <w:r w:rsidRPr="00CF2ABB">
        <w:rPr>
          <w:color w:val="2A2B2C"/>
          <w:lang w:val="es"/>
        </w:rPr>
        <w:t xml:space="preserve">Todos los estudiantes en todos los planes de estudio participarán en tareas complejas que incluyen material de nivel de grado al tiempo que aumentan el rigor en todas las aulas. </w:t>
      </w:r>
      <w:r w:rsidR="005045B4">
        <w:rPr>
          <w:color w:val="2A2B2C"/>
          <w:lang w:val="es"/>
        </w:rPr>
        <w:t xml:space="preserve"> Los estudiantes tendrán</w:t>
      </w:r>
      <w:r w:rsidR="00B37B52">
        <w:rPr>
          <w:color w:val="2A2B2C"/>
          <w:lang w:val="es"/>
        </w:rPr>
        <w:t xml:space="preserve"> oportunidades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de </w:t>
      </w:r>
      <w:r w:rsidR="005045B4">
        <w:rPr>
          <w:color w:val="2A2B2C"/>
          <w:lang w:val="es"/>
        </w:rPr>
        <w:t xml:space="preserve"> </w:t>
      </w:r>
      <w:proofErr w:type="spellStart"/>
      <w:r w:rsidR="005045B4">
        <w:rPr>
          <w:color w:val="2A2B2C"/>
          <w:lang w:val="es"/>
        </w:rPr>
        <w:t>colaborar</w:t>
      </w:r>
      <w:r w:rsidR="00B37B52">
        <w:rPr>
          <w:color w:val="2A2B2C"/>
          <w:lang w:val="es"/>
        </w:rPr>
        <w:t>entre</w:t>
      </w:r>
      <w:proofErr w:type="spellEnd"/>
      <w:proofErr w:type="gramEnd"/>
      <w:r w:rsidR="00B37B52">
        <w:rPr>
          <w:color w:val="2A2B2C"/>
          <w:lang w:val="es"/>
        </w:rPr>
        <w:t xml:space="preserve"> sí en el proceso de aprendizaje.</w:t>
      </w:r>
    </w:p>
    <w:p w14:paraId="08F4A5BC" w14:textId="4EF3716F" w:rsidR="32D97BDC" w:rsidRPr="00CF2ABB" w:rsidRDefault="32D97BDC" w:rsidP="222B419D">
      <w:pPr>
        <w:spacing w:before="120" w:after="120" w:line="240" w:lineRule="auto"/>
        <w:jc w:val="both"/>
        <w:rPr>
          <w:rFonts w:ascii="Calibri" w:eastAsia="MS Mincho" w:hAnsi="Calibri"/>
          <w:color w:val="2A2B2C"/>
        </w:rPr>
      </w:pPr>
      <w:r w:rsidRPr="00CF2ABB">
        <w:tab/>
      </w:r>
    </w:p>
    <w:p w14:paraId="0C29E601" w14:textId="358F989A" w:rsidR="00BC117F" w:rsidRDefault="00BC117F" w:rsidP="00333E97">
      <w:r>
        <w:rPr>
          <w:b/>
          <w:bCs/>
          <w:lang w:val="es"/>
        </w:rPr>
        <w:t>Estrategia basada en la evidencia:</w:t>
      </w:r>
    </w:p>
    <w:p w14:paraId="1A07CA78" w14:textId="77777777" w:rsidR="00BC117F" w:rsidRDefault="00BC117F" w:rsidP="00BC117F">
      <w:pPr>
        <w:pStyle w:val="ListParagraph"/>
        <w:numPr>
          <w:ilvl w:val="0"/>
          <w:numId w:val="8"/>
        </w:numPr>
        <w:spacing w:after="160" w:line="259" w:lineRule="auto"/>
      </w:pPr>
      <w:r w:rsidRPr="000D684D">
        <w:rPr>
          <w:lang w:val="es"/>
        </w:rPr>
        <w:t>Mejorar la capacidad del personal para identificar el contenido crítico de las Normas en alineación con los recursos del distrito.</w:t>
      </w:r>
    </w:p>
    <w:p w14:paraId="0324EAF8" w14:textId="3176AD82" w:rsidR="00BC117F" w:rsidRDefault="00BC117F" w:rsidP="00BC117F">
      <w:pPr>
        <w:pStyle w:val="ListParagraph"/>
        <w:numPr>
          <w:ilvl w:val="0"/>
          <w:numId w:val="8"/>
        </w:numPr>
        <w:spacing w:after="160" w:line="259" w:lineRule="auto"/>
      </w:pPr>
      <w:r w:rsidRPr="000D684D">
        <w:rPr>
          <w:lang w:val="es"/>
        </w:rPr>
        <w:t xml:space="preserve">Apoyar al personal para utilizar datos para </w:t>
      </w:r>
      <w:r w:rsidR="0048658D">
        <w:rPr>
          <w:lang w:val="es"/>
        </w:rPr>
        <w:t>agrupar</w:t>
      </w:r>
      <w:r w:rsidRPr="000D684D">
        <w:rPr>
          <w:lang w:val="es"/>
        </w:rPr>
        <w:t xml:space="preserve"> a los estudiantes para interactuar con el contenido de una manera que diferencie / andamiaje la instrucción para satisfacer las necesidades de cada estudiante.</w:t>
      </w:r>
    </w:p>
    <w:p w14:paraId="385EBEB7" w14:textId="0DD21AB1" w:rsidR="00BC117F" w:rsidRDefault="00333E97" w:rsidP="222B419D">
      <w:pPr>
        <w:pStyle w:val="ListParagraph"/>
        <w:numPr>
          <w:ilvl w:val="0"/>
          <w:numId w:val="8"/>
        </w:numPr>
        <w:spacing w:after="160" w:line="259" w:lineRule="auto"/>
      </w:pPr>
      <w:r>
        <w:rPr>
          <w:lang w:val="es"/>
        </w:rPr>
        <w:t>Fortalecer la capacidad del personal para involucrar a los estudiantes en tareas complejas.</w:t>
      </w:r>
    </w:p>
    <w:p w14:paraId="097D7258" w14:textId="563C46AB" w:rsidR="00BC117F" w:rsidRDefault="00BC117F" w:rsidP="00BC117F">
      <w:pPr>
        <w:spacing w:after="160" w:line="259" w:lineRule="auto"/>
      </w:pPr>
      <w:r w:rsidRPr="222B419D">
        <w:rPr>
          <w:b/>
          <w:bCs/>
          <w:lang w:val="es"/>
        </w:rPr>
        <w:t>Los pasos de acción</w:t>
      </w:r>
      <w:r w:rsidR="003B20B0">
        <w:rPr>
          <w:lang w:val="es"/>
        </w:rPr>
        <w:t xml:space="preserve"> variarán ligeramente en cada departamento, pero se centrarán en</w:t>
      </w:r>
      <w:r w:rsidR="002411A3">
        <w:rPr>
          <w:lang w:val="es"/>
        </w:rPr>
        <w:t xml:space="preserve"> PLC sólidos, </w:t>
      </w:r>
      <w:bookmarkStart w:id="3" w:name="_Int_IIvQjIbo"/>
      <w:r w:rsidR="2960196A">
        <w:rPr>
          <w:lang w:val="es"/>
        </w:rPr>
        <w:t>planificación</w:t>
      </w:r>
      <w:r>
        <w:rPr>
          <w:lang w:val="es"/>
        </w:rPr>
        <w:t xml:space="preserve"> </w:t>
      </w:r>
      <w:proofErr w:type="gramStart"/>
      <w:r>
        <w:rPr>
          <w:lang w:val="es"/>
        </w:rPr>
        <w:t xml:space="preserve">común </w:t>
      </w:r>
      <w:bookmarkEnd w:id="3"/>
      <w:r w:rsidR="002411A3">
        <w:rPr>
          <w:lang w:val="es"/>
        </w:rPr>
        <w:t xml:space="preserve"> y</w:t>
      </w:r>
      <w:proofErr w:type="gramEnd"/>
      <w:r w:rsidR="002411A3">
        <w:rPr>
          <w:lang w:val="es"/>
        </w:rPr>
        <w:t xml:space="preserve"> desarrollo profesional efectivo.</w:t>
      </w:r>
    </w:p>
    <w:p w14:paraId="73D7442F" w14:textId="77777777" w:rsidR="00BC117F" w:rsidRPr="00D2658C" w:rsidRDefault="00BC117F" w:rsidP="00BC117F">
      <w:pPr>
        <w:rPr>
          <w:b/>
          <w:bCs/>
          <w:u w:val="single"/>
        </w:rPr>
      </w:pPr>
      <w:r w:rsidRPr="00D2658C">
        <w:rPr>
          <w:b/>
          <w:bCs/>
          <w:u w:val="single"/>
          <w:lang w:val="es"/>
        </w:rPr>
        <w:t>Descripción del aprendizaje profesional</w:t>
      </w:r>
    </w:p>
    <w:p w14:paraId="1DD210C2" w14:textId="10E75585" w:rsidR="00BC117F" w:rsidRDefault="006111E0" w:rsidP="00BC117F">
      <w:pPr>
        <w:pStyle w:val="ListParagraph"/>
        <w:numPr>
          <w:ilvl w:val="0"/>
          <w:numId w:val="9"/>
        </w:numPr>
        <w:spacing w:after="160" w:line="259" w:lineRule="auto"/>
      </w:pPr>
      <w:r>
        <w:rPr>
          <w:lang w:val="es"/>
        </w:rPr>
        <w:t>Los maestros planifican en colaboración los objetivos de aprendizaje intencional</w:t>
      </w:r>
      <w:r w:rsidR="61D6C9CA">
        <w:rPr>
          <w:lang w:val="es"/>
        </w:rPr>
        <w:t xml:space="preserve"> y las tareas de aprendizaje.</w:t>
      </w:r>
    </w:p>
    <w:p w14:paraId="1ED9A551" w14:textId="351B54F2" w:rsidR="00BC117F" w:rsidRDefault="00BC117F" w:rsidP="00BC117F">
      <w:pPr>
        <w:pStyle w:val="ListParagraph"/>
        <w:numPr>
          <w:ilvl w:val="0"/>
          <w:numId w:val="9"/>
        </w:numPr>
        <w:spacing w:after="160" w:line="259" w:lineRule="auto"/>
      </w:pPr>
      <w:r w:rsidRPr="00D2658C">
        <w:rPr>
          <w:lang w:val="es"/>
        </w:rPr>
        <w:t xml:space="preserve">Dentro de PLC y / o planificación común, los maestros utilizan los datos de los estudiantes para planificar en colaboración oportunidades de aprendizaje diferenciadas que abordan la preparación, el interés y / o los perfiles de </w:t>
      </w:r>
      <w:proofErr w:type="spellStart"/>
      <w:r w:rsidRPr="00D2658C">
        <w:rPr>
          <w:lang w:val="es"/>
        </w:rPr>
        <w:t>aprendizaje</w:t>
      </w:r>
      <w:r w:rsidR="001C66D8">
        <w:rPr>
          <w:lang w:val="es"/>
        </w:rPr>
        <w:t>de</w:t>
      </w:r>
      <w:proofErr w:type="spellEnd"/>
      <w:r w:rsidR="001C66D8">
        <w:rPr>
          <w:lang w:val="es"/>
        </w:rPr>
        <w:t xml:space="preserve"> los</w:t>
      </w:r>
      <w:r>
        <w:rPr>
          <w:lang w:val="es"/>
        </w:rPr>
        <w:t xml:space="preserve"> estudiantes</w:t>
      </w:r>
      <w:r w:rsidRPr="00D2658C">
        <w:rPr>
          <w:lang w:val="es"/>
        </w:rPr>
        <w:t>.</w:t>
      </w:r>
    </w:p>
    <w:p w14:paraId="1EA7C8CE" w14:textId="2BE869CA" w:rsidR="00BC117F" w:rsidRPr="00D2658C" w:rsidRDefault="00BC117F" w:rsidP="00BC117F">
      <w:pPr>
        <w:pStyle w:val="ListParagraph"/>
        <w:numPr>
          <w:ilvl w:val="0"/>
          <w:numId w:val="9"/>
        </w:numPr>
        <w:spacing w:after="160" w:line="259" w:lineRule="auto"/>
      </w:pPr>
      <w:r w:rsidRPr="00D2658C">
        <w:rPr>
          <w:lang w:val="es"/>
        </w:rPr>
        <w:t xml:space="preserve">Los profesores participan en el desarrollo profesional continuo </w:t>
      </w:r>
      <w:proofErr w:type="gramStart"/>
      <w:r w:rsidRPr="00D2658C">
        <w:rPr>
          <w:lang w:val="es"/>
        </w:rPr>
        <w:t xml:space="preserve">centrado </w:t>
      </w:r>
      <w:r>
        <w:rPr>
          <w:lang w:val="es"/>
        </w:rPr>
        <w:t xml:space="preserve"> en</w:t>
      </w:r>
      <w:proofErr w:type="gramEnd"/>
      <w:r>
        <w:rPr>
          <w:lang w:val="es"/>
        </w:rPr>
        <w:t xml:space="preserve"> la </w:t>
      </w:r>
      <w:r w:rsidRPr="00D2658C">
        <w:rPr>
          <w:lang w:val="es"/>
        </w:rPr>
        <w:t xml:space="preserve">especialización y </w:t>
      </w:r>
      <w:r w:rsidR="001C66D8">
        <w:rPr>
          <w:lang w:val="es"/>
        </w:rPr>
        <w:t xml:space="preserve"> la participación de los estudiantes </w:t>
      </w:r>
      <w:r>
        <w:rPr>
          <w:lang w:val="es"/>
        </w:rPr>
        <w:t xml:space="preserve"> en </w:t>
      </w:r>
      <w:r w:rsidR="00564CEC">
        <w:rPr>
          <w:lang w:val="es"/>
        </w:rPr>
        <w:t>tareas cognitivamente complejas.</w:t>
      </w:r>
    </w:p>
    <w:p w14:paraId="2A411512" w14:textId="434A7C43" w:rsidR="00BC117F" w:rsidRPr="00BC117F" w:rsidRDefault="00BC117F" w:rsidP="00BC117F">
      <w:pPr>
        <w:spacing w:after="160" w:line="259" w:lineRule="auto"/>
      </w:pPr>
    </w:p>
    <w:sectPr w:rsidR="00BC117F" w:rsidRPr="00BC117F" w:rsidSect="00A272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IvQjIbo" int2:invalidationBookmarkName="" int2:hashCode="AAUCfYlPYRamSz" int2:id="MBxFbMBA"/>
    <int2:bookmark int2:bookmarkName="_Int_JFKN62b4" int2:invalidationBookmarkName="" int2:hashCode="RoHRJMxsS3O6q/" int2:id="NGE1ZIcJ"/>
    <int2:bookmark int2:bookmarkName="_Int_pFPt6rG2" int2:invalidationBookmarkName="" int2:hashCode="RoHRJMxsS3O6q/" int2:id="oJ6ox19n"/>
    <int2:bookmark int2:bookmarkName="_Int_6VxTnc51" int2:invalidationBookmarkName="" int2:hashCode="RoHRJMxsS3O6q/" int2:id="yIyeoTdk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E12"/>
    <w:multiLevelType w:val="hybridMultilevel"/>
    <w:tmpl w:val="C3008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5122D"/>
    <w:multiLevelType w:val="hybridMultilevel"/>
    <w:tmpl w:val="A3E0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968F6"/>
    <w:multiLevelType w:val="hybridMultilevel"/>
    <w:tmpl w:val="C7D01E70"/>
    <w:lvl w:ilvl="0" w:tplc="8FCADEC6">
      <w:start w:val="1"/>
      <w:numFmt w:val="decimal"/>
      <w:lvlText w:val="%1.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51137"/>
    <w:multiLevelType w:val="hybridMultilevel"/>
    <w:tmpl w:val="0D5278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DAA9DE">
      <w:start w:val="38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A2AD7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EA43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EF05DB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EC4B9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298A8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C1C0C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CA8FE3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8E7100C"/>
    <w:multiLevelType w:val="hybridMultilevel"/>
    <w:tmpl w:val="8C260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3451B"/>
    <w:multiLevelType w:val="hybridMultilevel"/>
    <w:tmpl w:val="EBC8D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2BF4"/>
    <w:multiLevelType w:val="hybridMultilevel"/>
    <w:tmpl w:val="5C3E2A24"/>
    <w:lvl w:ilvl="0" w:tplc="E33E3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D5A20"/>
    <w:multiLevelType w:val="hybridMultilevel"/>
    <w:tmpl w:val="F3FCC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95649"/>
    <w:multiLevelType w:val="hybridMultilevel"/>
    <w:tmpl w:val="0DFE1AE2"/>
    <w:lvl w:ilvl="0" w:tplc="C6D8DD0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D8CE044">
      <w:start w:val="55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0CCD4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8E20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8285D0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7E19F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9622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44C49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4DAE2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6BDC2536"/>
    <w:multiLevelType w:val="hybridMultilevel"/>
    <w:tmpl w:val="F53A4BF4"/>
    <w:lvl w:ilvl="0" w:tplc="8FCADEC6">
      <w:start w:val="1"/>
      <w:numFmt w:val="decimal"/>
      <w:lvlText w:val="%1.)"/>
      <w:lvlJc w:val="left"/>
      <w:pPr>
        <w:ind w:left="72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2822">
    <w:abstractNumId w:val="3"/>
  </w:num>
  <w:num w:numId="2" w16cid:durableId="889196723">
    <w:abstractNumId w:val="7"/>
  </w:num>
  <w:num w:numId="3" w16cid:durableId="988091103">
    <w:abstractNumId w:val="4"/>
  </w:num>
  <w:num w:numId="4" w16cid:durableId="686710595">
    <w:abstractNumId w:val="9"/>
  </w:num>
  <w:num w:numId="5" w16cid:durableId="1450785459">
    <w:abstractNumId w:val="2"/>
  </w:num>
  <w:num w:numId="6" w16cid:durableId="1640498139">
    <w:abstractNumId w:val="0"/>
  </w:num>
  <w:num w:numId="7" w16cid:durableId="295331294">
    <w:abstractNumId w:val="8"/>
  </w:num>
  <w:num w:numId="8" w16cid:durableId="425276309">
    <w:abstractNumId w:val="5"/>
  </w:num>
  <w:num w:numId="9" w16cid:durableId="1874265464">
    <w:abstractNumId w:val="1"/>
  </w:num>
  <w:num w:numId="10" w16cid:durableId="1750879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C4"/>
    <w:rsid w:val="00021F06"/>
    <w:rsid w:val="00056B88"/>
    <w:rsid w:val="00072D20"/>
    <w:rsid w:val="00081171"/>
    <w:rsid w:val="000A0478"/>
    <w:rsid w:val="000E092F"/>
    <w:rsid w:val="000E6F43"/>
    <w:rsid w:val="000F1289"/>
    <w:rsid w:val="001B5862"/>
    <w:rsid w:val="001C4405"/>
    <w:rsid w:val="001C5394"/>
    <w:rsid w:val="001C66D8"/>
    <w:rsid w:val="001D1E03"/>
    <w:rsid w:val="001F7F3F"/>
    <w:rsid w:val="002411A3"/>
    <w:rsid w:val="00251834"/>
    <w:rsid w:val="00257F05"/>
    <w:rsid w:val="00266D22"/>
    <w:rsid w:val="002A794A"/>
    <w:rsid w:val="002B6C7E"/>
    <w:rsid w:val="002D2E00"/>
    <w:rsid w:val="002D6088"/>
    <w:rsid w:val="002E32F9"/>
    <w:rsid w:val="00332FD0"/>
    <w:rsid w:val="00333E97"/>
    <w:rsid w:val="00354EE9"/>
    <w:rsid w:val="003679B7"/>
    <w:rsid w:val="003B20B0"/>
    <w:rsid w:val="003C7705"/>
    <w:rsid w:val="003D226C"/>
    <w:rsid w:val="003D3C0A"/>
    <w:rsid w:val="003F71A9"/>
    <w:rsid w:val="0048658D"/>
    <w:rsid w:val="004A2644"/>
    <w:rsid w:val="00503D82"/>
    <w:rsid w:val="005045B4"/>
    <w:rsid w:val="00564CEC"/>
    <w:rsid w:val="00596E54"/>
    <w:rsid w:val="00597FD7"/>
    <w:rsid w:val="005A4687"/>
    <w:rsid w:val="005B36CD"/>
    <w:rsid w:val="005D0ED3"/>
    <w:rsid w:val="006111E0"/>
    <w:rsid w:val="0061586D"/>
    <w:rsid w:val="00673340"/>
    <w:rsid w:val="00673C7A"/>
    <w:rsid w:val="00677548"/>
    <w:rsid w:val="00691466"/>
    <w:rsid w:val="006B16F3"/>
    <w:rsid w:val="007603CA"/>
    <w:rsid w:val="00760861"/>
    <w:rsid w:val="007639A2"/>
    <w:rsid w:val="00774B8E"/>
    <w:rsid w:val="00795C3F"/>
    <w:rsid w:val="007F63A7"/>
    <w:rsid w:val="00802768"/>
    <w:rsid w:val="00822EAA"/>
    <w:rsid w:val="00826CA3"/>
    <w:rsid w:val="0086077D"/>
    <w:rsid w:val="00870188"/>
    <w:rsid w:val="008C0C76"/>
    <w:rsid w:val="008E66F0"/>
    <w:rsid w:val="008F1BA0"/>
    <w:rsid w:val="008F52C4"/>
    <w:rsid w:val="0091269A"/>
    <w:rsid w:val="00923FEC"/>
    <w:rsid w:val="009461F7"/>
    <w:rsid w:val="00946915"/>
    <w:rsid w:val="00970174"/>
    <w:rsid w:val="00971B15"/>
    <w:rsid w:val="009860F8"/>
    <w:rsid w:val="009C622E"/>
    <w:rsid w:val="009E51B3"/>
    <w:rsid w:val="009F436E"/>
    <w:rsid w:val="00A23467"/>
    <w:rsid w:val="00A2726F"/>
    <w:rsid w:val="00A45786"/>
    <w:rsid w:val="00A601F2"/>
    <w:rsid w:val="00A82477"/>
    <w:rsid w:val="00A84E20"/>
    <w:rsid w:val="00A977E4"/>
    <w:rsid w:val="00AA784C"/>
    <w:rsid w:val="00AD0703"/>
    <w:rsid w:val="00AF3103"/>
    <w:rsid w:val="00B05D94"/>
    <w:rsid w:val="00B06F4B"/>
    <w:rsid w:val="00B174DF"/>
    <w:rsid w:val="00B24AA1"/>
    <w:rsid w:val="00B37B52"/>
    <w:rsid w:val="00BC10C1"/>
    <w:rsid w:val="00BC117F"/>
    <w:rsid w:val="00BE5BAD"/>
    <w:rsid w:val="00C15BCF"/>
    <w:rsid w:val="00CC697A"/>
    <w:rsid w:val="00CF2ABB"/>
    <w:rsid w:val="00CF640C"/>
    <w:rsid w:val="00D201A0"/>
    <w:rsid w:val="00D36852"/>
    <w:rsid w:val="00D507D1"/>
    <w:rsid w:val="00D63877"/>
    <w:rsid w:val="00DA6CA9"/>
    <w:rsid w:val="00DC0222"/>
    <w:rsid w:val="00DC6870"/>
    <w:rsid w:val="00DD0347"/>
    <w:rsid w:val="00DF07B3"/>
    <w:rsid w:val="00DF6DEE"/>
    <w:rsid w:val="00DF6FD4"/>
    <w:rsid w:val="00E44F40"/>
    <w:rsid w:val="00E76EC9"/>
    <w:rsid w:val="00EA7D60"/>
    <w:rsid w:val="00EB78D8"/>
    <w:rsid w:val="00EE1EF1"/>
    <w:rsid w:val="00F346E6"/>
    <w:rsid w:val="00F704FA"/>
    <w:rsid w:val="00FF10F2"/>
    <w:rsid w:val="03182802"/>
    <w:rsid w:val="036951AA"/>
    <w:rsid w:val="096E4129"/>
    <w:rsid w:val="09E91F3F"/>
    <w:rsid w:val="1146F409"/>
    <w:rsid w:val="1A7827E6"/>
    <w:rsid w:val="1CFFCDB4"/>
    <w:rsid w:val="1DCDB662"/>
    <w:rsid w:val="1EE8E1F3"/>
    <w:rsid w:val="1EF82A7A"/>
    <w:rsid w:val="2133FAE6"/>
    <w:rsid w:val="222B419D"/>
    <w:rsid w:val="250D704A"/>
    <w:rsid w:val="2936434E"/>
    <w:rsid w:val="2960196A"/>
    <w:rsid w:val="2A4E2A54"/>
    <w:rsid w:val="2BDFFB1E"/>
    <w:rsid w:val="2DD8EE50"/>
    <w:rsid w:val="31F1AA8D"/>
    <w:rsid w:val="32D97BDC"/>
    <w:rsid w:val="342ED502"/>
    <w:rsid w:val="384C26B1"/>
    <w:rsid w:val="3B0E768E"/>
    <w:rsid w:val="3FC85B7F"/>
    <w:rsid w:val="41642BE0"/>
    <w:rsid w:val="43637723"/>
    <w:rsid w:val="49561568"/>
    <w:rsid w:val="53C9D500"/>
    <w:rsid w:val="558C8B02"/>
    <w:rsid w:val="5BBC03F5"/>
    <w:rsid w:val="5C341BD7"/>
    <w:rsid w:val="61D6C9CA"/>
    <w:rsid w:val="6382E282"/>
    <w:rsid w:val="6542AEBE"/>
    <w:rsid w:val="6AEF04CC"/>
    <w:rsid w:val="6BB8281D"/>
    <w:rsid w:val="715E4650"/>
    <w:rsid w:val="7424EFBB"/>
    <w:rsid w:val="78C6EA43"/>
    <w:rsid w:val="7F95C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1BCA5"/>
  <w15:docId w15:val="{9EB96AEE-037B-4A6E-B40F-8E0E43A8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52C4"/>
    <w:rPr>
      <w:b/>
      <w:bCs/>
    </w:rPr>
  </w:style>
  <w:style w:type="paragraph" w:styleId="ListParagraph">
    <w:name w:val="List Paragraph"/>
    <w:basedOn w:val="Normal"/>
    <w:uiPriority w:val="34"/>
    <w:qFormat/>
    <w:rsid w:val="00072D20"/>
    <w:pPr>
      <w:ind w:left="720"/>
      <w:contextualSpacing/>
    </w:pPr>
    <w:rPr>
      <w:rFonts w:eastAsiaTheme="minorEastAsia"/>
    </w:rPr>
  </w:style>
  <w:style w:type="character" w:customStyle="1" w:styleId="form">
    <w:name w:val="form"/>
    <w:basedOn w:val="DefaultParagraphFont"/>
    <w:rsid w:val="00E44F40"/>
  </w:style>
  <w:style w:type="character" w:styleId="PlaceholderText">
    <w:name w:val="Placeholder Text"/>
    <w:basedOn w:val="DefaultParagraphFont"/>
    <w:uiPriority w:val="99"/>
    <w:semiHidden/>
    <w:rsid w:val="00EA7D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2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2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0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0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4ABF7-7470-43A8-847D-F5202D3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Xuser</dc:creator>
  <dc:description/>
  <cp:lastModifiedBy>Autrey Rachel</cp:lastModifiedBy>
  <cp:revision>1</cp:revision>
  <dcterms:created xsi:type="dcterms:W3CDTF">2022-10-24T13:56:00Z</dcterms:created>
  <dcterms:modified xsi:type="dcterms:W3CDTF">2022-10-27T14:02:00Z</dcterms:modified>
  <cp:category/>
</cp:coreProperties>
</file>